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C" w:rsidRPr="005C2150" w:rsidRDefault="00FE7D6C" w:rsidP="005C2150">
      <w:pPr>
        <w:rPr>
          <w:rFonts w:ascii="Arial Rounded MT Bold" w:hAnsi="Arial Rounded MT Bold" w:cs="Estrangelo Edessa"/>
          <w:color w:val="FF0000"/>
          <w:sz w:val="36"/>
        </w:rPr>
      </w:pPr>
      <w:r>
        <w:rPr>
          <w:rFonts w:ascii="Arial Rounded MT Bold" w:hAnsi="Arial Rounded MT Bold" w:cs="Estrangelo Edessa"/>
          <w:noProof/>
          <w:color w:val="FF0000"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-3810</wp:posOffset>
            </wp:positionV>
            <wp:extent cx="1492250" cy="723900"/>
            <wp:effectExtent l="19050" t="0" r="0" b="0"/>
            <wp:wrapNone/>
            <wp:docPr id="14" name="Picture 1066" descr="\\Startback\Documents on MASTER (Start110308)\MARKETING\Mulberry Grove\imag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\\Startback\Documents on MASTER (Start110308)\MARKETING\Mulberry Grove\images\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150">
        <w:rPr>
          <w:rFonts w:ascii="Arial Rounded MT Bold" w:hAnsi="Arial Rounded MT Bold" w:cs="Estrangelo Edessa"/>
          <w:color w:val="FF0000"/>
          <w:sz w:val="28"/>
        </w:rPr>
        <w:t xml:space="preserve">                                             </w:t>
      </w:r>
      <w:r w:rsidRPr="005C2150">
        <w:rPr>
          <w:rFonts w:ascii="Arial Rounded MT Bold" w:hAnsi="Arial Rounded MT Bold" w:cs="Estrangelo Edessa"/>
          <w:color w:val="FF0000"/>
          <w:sz w:val="46"/>
        </w:rPr>
        <w:t>CERTIFICATE IN ORAL</w:t>
      </w:r>
      <w:r w:rsidRPr="005C2150">
        <w:rPr>
          <w:rFonts w:ascii="Arial Rounded MT Bold" w:hAnsi="Arial Rounded MT Bold" w:cs="Estrangelo Edessa"/>
          <w:noProof/>
          <w:color w:val="FF0000"/>
          <w:sz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-3810</wp:posOffset>
            </wp:positionV>
            <wp:extent cx="812800" cy="812800"/>
            <wp:effectExtent l="19050" t="0" r="6350" b="0"/>
            <wp:wrapThrough wrapText="bothSides">
              <wp:wrapPolygon edited="0">
                <wp:start x="-506" y="0"/>
                <wp:lineTo x="-506" y="21263"/>
                <wp:lineTo x="21769" y="21263"/>
                <wp:lineTo x="21769" y="0"/>
                <wp:lineTo x="-506" y="0"/>
              </wp:wrapPolygon>
            </wp:wrapThrough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D6C" w:rsidRPr="005C2150" w:rsidRDefault="00FE7D6C" w:rsidP="00FE7D6C">
      <w:pPr>
        <w:ind w:firstLine="720"/>
        <w:jc w:val="center"/>
        <w:rPr>
          <w:rFonts w:ascii="Arial Rounded MT Bold" w:hAnsi="Arial Rounded MT Bold" w:cs="Estrangelo Edessa"/>
          <w:color w:val="FF0000"/>
          <w:sz w:val="36"/>
        </w:rPr>
      </w:pPr>
      <w:r w:rsidRPr="005C2150">
        <w:rPr>
          <w:rFonts w:ascii="Arial Rounded MT Bold" w:hAnsi="Arial Rounded MT Bold" w:cs="Estrangelo Edessa"/>
          <w:color w:val="FF0000"/>
          <w:sz w:val="36"/>
        </w:rPr>
        <w:t xml:space="preserve">       </w:t>
      </w:r>
      <w:r w:rsidR="005C2150">
        <w:rPr>
          <w:rFonts w:ascii="Arial Rounded MT Bold" w:hAnsi="Arial Rounded MT Bold" w:cs="Estrangelo Edessa"/>
          <w:color w:val="FF0000"/>
          <w:sz w:val="36"/>
        </w:rPr>
        <w:t xml:space="preserve">       </w:t>
      </w:r>
      <w:r w:rsidRPr="005C2150">
        <w:rPr>
          <w:rFonts w:ascii="Arial Rounded MT Bold" w:hAnsi="Arial Rounded MT Bold" w:cs="Estrangelo Edessa"/>
          <w:color w:val="FF0000"/>
          <w:sz w:val="36"/>
        </w:rPr>
        <w:t xml:space="preserve"> </w:t>
      </w:r>
      <w:r w:rsidRPr="005C2150">
        <w:rPr>
          <w:rFonts w:ascii="Arial Rounded MT Bold" w:hAnsi="Arial Rounded MT Bold" w:cs="Estrangelo Edessa"/>
          <w:color w:val="FF0000"/>
          <w:sz w:val="46"/>
        </w:rPr>
        <w:t>HEALTH EDUCATION</w:t>
      </w:r>
    </w:p>
    <w:p w:rsidR="00C93336" w:rsidRDefault="00FE7D6C" w:rsidP="00C93336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  <w:r>
        <w:rPr>
          <w:rFonts w:ascii="Arial Rounded MT Bold" w:hAnsi="Arial Rounded MT Bold" w:cs="Estrangelo Edessa"/>
          <w:color w:val="365F91" w:themeColor="accent1" w:themeShade="BF"/>
          <w:sz w:val="20"/>
        </w:rPr>
        <w:tab/>
      </w:r>
      <w:r>
        <w:rPr>
          <w:rFonts w:ascii="Arial Rounded MT Bold" w:hAnsi="Arial Rounded MT Bold" w:cs="Estrangelo Edessa"/>
          <w:color w:val="365F91" w:themeColor="accent1" w:themeShade="BF"/>
          <w:sz w:val="20"/>
        </w:rPr>
        <w:tab/>
      </w:r>
      <w:r>
        <w:rPr>
          <w:rFonts w:ascii="Arial Rounded MT Bold" w:hAnsi="Arial Rounded MT Bold" w:cs="Estrangelo Edessa"/>
          <w:color w:val="365F91" w:themeColor="accent1" w:themeShade="BF"/>
          <w:sz w:val="20"/>
        </w:rPr>
        <w:tab/>
      </w:r>
      <w:r w:rsidR="00C93336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 </w:t>
      </w:r>
    </w:p>
    <w:p w:rsidR="00FE7D6C" w:rsidRDefault="00FE7D6C" w:rsidP="00C93336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</w:p>
    <w:p w:rsidR="00005E2B" w:rsidRPr="00C93336" w:rsidRDefault="00005E2B" w:rsidP="00C93336">
      <w:pPr>
        <w:rPr>
          <w:rFonts w:cs="Tunga"/>
          <w:b/>
          <w:i/>
          <w:color w:val="365F91" w:themeColor="accent1" w:themeShade="BF"/>
          <w:sz w:val="16"/>
          <w:szCs w:val="16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The Certificate in Oral Health Education is suitable for qualified dental nurses who provide oral health advice to patients under the direct supervision of a dentist. The NEBDN Post Graduate Qualification</w:t>
      </w:r>
      <w:r w:rsidR="002E5FD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is aimed to advance the education of dental nurses for the benefit of the public.</w:t>
      </w:r>
    </w:p>
    <w:p w:rsidR="002E5FD8" w:rsidRPr="00B67957" w:rsidRDefault="002E5FD8" w:rsidP="00005E2B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</w:p>
    <w:p w:rsidR="002E5FD8" w:rsidRPr="00B67957" w:rsidRDefault="002E5FD8" w:rsidP="00A2488F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In order to complete the qualification a dental nurse must be registered with the General Dental Council and have the support of the</w:t>
      </w:r>
      <w:r w:rsidR="00A82E6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ir employing dentist to act as </w:t>
      </w:r>
      <w:r w:rsidR="000A153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S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upervisor and validate the workplace activities for the completion of the Record of Experience</w:t>
      </w:r>
      <w:r w:rsidR="007E7E6A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which 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consists of;</w:t>
      </w:r>
    </w:p>
    <w:p w:rsidR="00A2488F" w:rsidRPr="00B67957" w:rsidRDefault="00A2488F" w:rsidP="00A2488F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</w:p>
    <w:p w:rsidR="002E5FD8" w:rsidRPr="00B67957" w:rsidRDefault="002E5FD8" w:rsidP="00005E2B">
      <w:pPr>
        <w:rPr>
          <w:rFonts w:ascii="Arial Rounded MT Bold" w:hAnsi="Arial Rounded MT Bold" w:cs="Estrangelo Edessa"/>
          <w:b/>
          <w:color w:val="FF0000"/>
          <w:sz w:val="20"/>
          <w:u w:val="single"/>
        </w:rPr>
      </w:pPr>
      <w:r w:rsidRPr="00B67957">
        <w:rPr>
          <w:rFonts w:ascii="Arial Rounded MT Bold" w:hAnsi="Arial Rounded MT Bold" w:cs="Estrangelo Edessa"/>
          <w:b/>
          <w:color w:val="FF0000"/>
          <w:sz w:val="20"/>
          <w:u w:val="single"/>
        </w:rPr>
        <w:t>Part A: Log Sheets</w:t>
      </w:r>
    </w:p>
    <w:p w:rsidR="002E5FD8" w:rsidRPr="00B67957" w:rsidRDefault="002E5FD8" w:rsidP="00005E2B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</w:p>
    <w:p w:rsidR="002E5FD8" w:rsidRPr="00B67957" w:rsidRDefault="002E5FD8" w:rsidP="00005E2B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The dental nurse will provide and care for the oral health advice of TEN individuals, seen on at least TWO occasion</w:t>
      </w:r>
      <w:r w:rsidR="000A153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s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and must cover at least SIX of the specified patient groups.</w:t>
      </w:r>
    </w:p>
    <w:p w:rsidR="002E5FD8" w:rsidRPr="00B67957" w:rsidRDefault="002E5FD8" w:rsidP="00005E2B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</w:p>
    <w:p w:rsidR="002E5FD8" w:rsidRPr="00B67957" w:rsidRDefault="002E5FD8" w:rsidP="00005E2B">
      <w:pPr>
        <w:rPr>
          <w:rFonts w:ascii="Arial Rounded MT Bold" w:hAnsi="Arial Rounded MT Bold" w:cs="Estrangelo Edessa"/>
          <w:b/>
          <w:color w:val="FF0000"/>
          <w:sz w:val="20"/>
          <w:u w:val="single"/>
        </w:rPr>
      </w:pPr>
      <w:r w:rsidRPr="00B67957">
        <w:rPr>
          <w:rFonts w:ascii="Arial Rounded MT Bold" w:hAnsi="Arial Rounded MT Bold" w:cs="Estrangelo Edessa"/>
          <w:b/>
          <w:color w:val="FF0000"/>
          <w:sz w:val="20"/>
          <w:u w:val="single"/>
        </w:rPr>
        <w:t>Part B: Expanded Case Studies</w:t>
      </w:r>
    </w:p>
    <w:p w:rsidR="002E5FD8" w:rsidRPr="00B67957" w:rsidRDefault="002E5FD8" w:rsidP="00005E2B">
      <w:pPr>
        <w:rPr>
          <w:rFonts w:ascii="Arial Rounded MT Bold" w:hAnsi="Arial Rounded MT Bold" w:cs="Estrangelo Edessa"/>
          <w:b/>
          <w:color w:val="FF0000"/>
          <w:sz w:val="20"/>
          <w:u w:val="single"/>
        </w:rPr>
      </w:pPr>
    </w:p>
    <w:p w:rsidR="002E5FD8" w:rsidRPr="00B67957" w:rsidRDefault="002E5FD8" w:rsidP="00005E2B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The dental nurse must complete TWO case studies from the log sheets.</w:t>
      </w:r>
    </w:p>
    <w:p w:rsidR="002E5FD8" w:rsidRPr="00B67957" w:rsidRDefault="002E5FD8" w:rsidP="002E5FD8">
      <w:pPr>
        <w:pStyle w:val="ListParagraph"/>
        <w:numPr>
          <w:ilvl w:val="0"/>
          <w:numId w:val="1"/>
        </w:num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ONE involving a child</w:t>
      </w:r>
    </w:p>
    <w:p w:rsidR="002E5FD8" w:rsidRPr="00B67957" w:rsidRDefault="002E5FD8" w:rsidP="002E5FD8">
      <w:pPr>
        <w:pStyle w:val="ListParagraph"/>
        <w:numPr>
          <w:ilvl w:val="0"/>
          <w:numId w:val="1"/>
        </w:num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ONE involving an adult</w:t>
      </w:r>
    </w:p>
    <w:p w:rsidR="002E5FD8" w:rsidRPr="00B67957" w:rsidRDefault="002E5FD8" w:rsidP="002E5FD8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Each case study must be 2000 words long covering a topic from the range specified.</w:t>
      </w:r>
    </w:p>
    <w:p w:rsidR="002E5FD8" w:rsidRPr="00B67957" w:rsidRDefault="002E5FD8" w:rsidP="002E5FD8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</w:p>
    <w:p w:rsidR="002E5FD8" w:rsidRPr="00B67957" w:rsidRDefault="002E5FD8" w:rsidP="002E5FD8">
      <w:pPr>
        <w:rPr>
          <w:rFonts w:ascii="Arial Rounded MT Bold" w:hAnsi="Arial Rounded MT Bold" w:cs="Estrangelo Edessa"/>
          <w:b/>
          <w:color w:val="FF0000"/>
          <w:sz w:val="20"/>
          <w:u w:val="single"/>
        </w:rPr>
      </w:pPr>
      <w:r w:rsidRPr="00B67957">
        <w:rPr>
          <w:rFonts w:ascii="Arial Rounded MT Bold" w:hAnsi="Arial Rounded MT Bold" w:cs="Estrangelo Edessa"/>
          <w:b/>
          <w:color w:val="FF0000"/>
          <w:sz w:val="20"/>
          <w:u w:val="single"/>
        </w:rPr>
        <w:t>Part C: Display/Exhibition</w:t>
      </w:r>
    </w:p>
    <w:p w:rsidR="002E5FD8" w:rsidRPr="00B67957" w:rsidRDefault="002E5FD8" w:rsidP="002E5FD8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</w:p>
    <w:p w:rsidR="002E5FD8" w:rsidRPr="00B67957" w:rsidRDefault="002E5FD8" w:rsidP="002E5FD8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The</w:t>
      </w:r>
      <w:r w:rsidR="00D92F5C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dental nurse </w:t>
      </w:r>
      <w:r w:rsidR="001013A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must use the set lesson plan</w:t>
      </w:r>
      <w:r w:rsidR="00D92F5C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to plan, produce and evaluate a display/exhibition which ideally, but not necessarily, should be in their place of work</w:t>
      </w:r>
      <w:r w:rsidR="002176D9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.</w:t>
      </w:r>
    </w:p>
    <w:p w:rsidR="000174E8" w:rsidRPr="00B67957" w:rsidRDefault="000174E8" w:rsidP="002E5FD8">
      <w:pPr>
        <w:rPr>
          <w:rFonts w:ascii="Arial Rounded MT Bold" w:hAnsi="Arial Rounded MT Bold" w:cs="Estrangelo Edessa"/>
          <w:b/>
          <w:color w:val="FF0000"/>
          <w:sz w:val="20"/>
          <w:u w:val="single"/>
        </w:rPr>
      </w:pPr>
    </w:p>
    <w:p w:rsidR="00D92F5C" w:rsidRPr="00B67957" w:rsidRDefault="00D92F5C" w:rsidP="002E5FD8">
      <w:pPr>
        <w:rPr>
          <w:rFonts w:ascii="Arial Rounded MT Bold" w:hAnsi="Arial Rounded MT Bold" w:cs="Estrangelo Edessa"/>
          <w:b/>
          <w:color w:val="FF0000"/>
          <w:sz w:val="20"/>
          <w:u w:val="single"/>
        </w:rPr>
      </w:pPr>
      <w:r w:rsidRPr="00B67957">
        <w:rPr>
          <w:rFonts w:ascii="Arial Rounded MT Bold" w:hAnsi="Arial Rounded MT Bold" w:cs="Estrangelo Edessa"/>
          <w:b/>
          <w:color w:val="FF0000"/>
          <w:sz w:val="20"/>
          <w:u w:val="single"/>
        </w:rPr>
        <w:t>Examination</w:t>
      </w:r>
    </w:p>
    <w:p w:rsidR="00D92F5C" w:rsidRPr="00B67957" w:rsidRDefault="00D92F5C" w:rsidP="002E5FD8">
      <w:pPr>
        <w:rPr>
          <w:rFonts w:ascii="Arial Rounded MT Bold" w:hAnsi="Arial Rounded MT Bold" w:cs="Estrangelo Edessa"/>
          <w:b/>
          <w:color w:val="365F91" w:themeColor="accent1" w:themeShade="BF"/>
          <w:sz w:val="20"/>
          <w:u w:val="single"/>
        </w:rPr>
      </w:pPr>
    </w:p>
    <w:p w:rsidR="00D92F5C" w:rsidRPr="00B67957" w:rsidRDefault="000174E8" w:rsidP="002E5FD8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The examination, </w:t>
      </w:r>
      <w:r w:rsidR="00D92F5C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which </w:t>
      </w:r>
      <w:r w:rsidR="00CE7F4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will </w:t>
      </w:r>
      <w:r w:rsidR="00D92F5C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assess underpinning knowledge and understanding, takes place on the third Saturday of March and September each year and is held in selected areas.</w:t>
      </w:r>
    </w:p>
    <w:p w:rsidR="00D92F5C" w:rsidRPr="00B67957" w:rsidRDefault="00D92F5C" w:rsidP="002E5FD8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</w:p>
    <w:p w:rsidR="00D92F5C" w:rsidRPr="00B67957" w:rsidRDefault="00D92F5C" w:rsidP="002E5FD8">
      <w:pPr>
        <w:rPr>
          <w:rFonts w:ascii="Arial Rounded MT Bold" w:hAnsi="Arial Rounded MT Bold" w:cs="Estrangelo Edessa"/>
          <w:b/>
          <w:color w:val="FF0000"/>
          <w:sz w:val="20"/>
          <w:u w:val="single"/>
        </w:rPr>
      </w:pPr>
      <w:r w:rsidRPr="00B67957">
        <w:rPr>
          <w:rFonts w:ascii="Arial Rounded MT Bold" w:hAnsi="Arial Rounded MT Bold" w:cs="Estrangelo Edessa"/>
          <w:b/>
          <w:color w:val="FF0000"/>
          <w:sz w:val="20"/>
          <w:u w:val="single"/>
        </w:rPr>
        <w:t>Written Paper</w:t>
      </w:r>
    </w:p>
    <w:p w:rsidR="00D92F5C" w:rsidRPr="00B67957" w:rsidRDefault="00D92F5C" w:rsidP="002E5FD8">
      <w:pPr>
        <w:rPr>
          <w:rFonts w:ascii="Arial Rounded MT Bold" w:hAnsi="Arial Rounded MT Bold" w:cs="Estrangelo Edessa"/>
          <w:b/>
          <w:color w:val="365F91" w:themeColor="accent1" w:themeShade="BF"/>
          <w:sz w:val="20"/>
          <w:u w:val="single"/>
        </w:rPr>
      </w:pPr>
    </w:p>
    <w:p w:rsidR="00D92F5C" w:rsidRPr="00B67957" w:rsidRDefault="00D92F5C" w:rsidP="002E5FD8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The 90 minute written paper consists of:</w:t>
      </w:r>
      <w:r w:rsidR="000174E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ab/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Part A:   - 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ab/>
        <w:t>30 minute multiple choice questions</w:t>
      </w:r>
    </w:p>
    <w:p w:rsidR="00D92F5C" w:rsidRPr="00B67957" w:rsidRDefault="000174E8" w:rsidP="000174E8">
      <w:pPr>
        <w:pStyle w:val="ListParagraph"/>
        <w:numPr>
          <w:ilvl w:val="0"/>
          <w:numId w:val="3"/>
        </w:num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    S</w:t>
      </w:r>
      <w:r w:rsidR="00D92F5C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hort answer questions</w:t>
      </w:r>
    </w:p>
    <w:p w:rsidR="00454017" w:rsidRDefault="00D92F5C" w:rsidP="00454017">
      <w:pPr>
        <w:ind w:left="3600" w:firstLine="720"/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Part B:   - 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ab/>
        <w:t>3 essay questions, all of which are compulsory</w:t>
      </w:r>
    </w:p>
    <w:p w:rsidR="00D92F5C" w:rsidRPr="00C93336" w:rsidRDefault="00D92F5C" w:rsidP="00454017">
      <w:pPr>
        <w:ind w:left="3600" w:hanging="3600"/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b/>
          <w:color w:val="FF0000"/>
          <w:sz w:val="20"/>
          <w:u w:val="single"/>
        </w:rPr>
        <w:t>Oral</w:t>
      </w:r>
    </w:p>
    <w:p w:rsidR="00D92F5C" w:rsidRPr="00B67957" w:rsidRDefault="00D92F5C" w:rsidP="00D92F5C">
      <w:pPr>
        <w:rPr>
          <w:rFonts w:ascii="Arial Rounded MT Bold" w:hAnsi="Arial Rounded MT Bold" w:cs="Estrangelo Edessa"/>
          <w:b/>
          <w:color w:val="365F91" w:themeColor="accent1" w:themeShade="BF"/>
          <w:sz w:val="20"/>
          <w:u w:val="single"/>
        </w:rPr>
      </w:pPr>
    </w:p>
    <w:p w:rsidR="00005E2B" w:rsidRPr="00B67957" w:rsidRDefault="00D92F5C" w:rsidP="00005E2B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The oral exam last</w:t>
      </w:r>
      <w:r w:rsidR="002176D9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s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a</w:t>
      </w:r>
      <w:r w:rsidR="002176D9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total of 15 minutes.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The dental nurse will be required to give a 5 minute verbal presentation on one of their case studies, of which they </w:t>
      </w:r>
      <w:r w:rsidR="002176D9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would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have been informed by the exam board three weeks </w:t>
      </w:r>
      <w:r w:rsidR="002176D9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prior to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the examination. The remaining 10 minutes will consist of general oral health topics.</w:t>
      </w:r>
    </w:p>
    <w:p w:rsidR="000174E8" w:rsidRPr="00B67957" w:rsidRDefault="000174E8" w:rsidP="00005E2B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</w:p>
    <w:p w:rsidR="007E7E6A" w:rsidRDefault="000174E8" w:rsidP="00005E2B">
      <w:pPr>
        <w:rPr>
          <w:rFonts w:ascii="Arial Rounded MT Bold" w:hAnsi="Arial Rounded MT Bold" w:cs="Estrangelo Edessa"/>
          <w:color w:val="365F91" w:themeColor="accent1" w:themeShade="BF"/>
          <w:sz w:val="20"/>
        </w:rPr>
      </w:pP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In order to complete the above requirements and prepare for the external examination dental nurses are required to attend</w:t>
      </w:r>
      <w:r w:rsidR="001013A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15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</w:t>
      </w:r>
      <w:r w:rsidR="001013A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tutor lead sessions at 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Start Training Limited</w:t>
      </w:r>
      <w:r w:rsidR="001013A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, taking place e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ach 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  <w:u w:val="single"/>
        </w:rPr>
        <w:t>fortnight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</w:t>
      </w:r>
      <w:r w:rsidR="001013A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on Friday afternoons from 12.30 – 3.30pm, 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over </w:t>
      </w:r>
      <w:r w:rsidR="001013A8"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>a 30 week period,</w:t>
      </w:r>
      <w:r w:rsidRPr="00B67957">
        <w:rPr>
          <w:rFonts w:ascii="Arial Rounded MT Bold" w:hAnsi="Arial Rounded MT Bold" w:cs="Estrangelo Edessa"/>
          <w:color w:val="365F91" w:themeColor="accent1" w:themeShade="BF"/>
          <w:sz w:val="20"/>
        </w:rPr>
        <w:t xml:space="preserve"> prior to the examination. </w:t>
      </w:r>
    </w:p>
    <w:p w:rsidR="007E7E6A" w:rsidRPr="005C2150" w:rsidRDefault="007E7E6A" w:rsidP="00005E2B">
      <w:pPr>
        <w:rPr>
          <w:rFonts w:ascii="Arial Rounded MT Bold" w:hAnsi="Arial Rounded MT Bold" w:cs="Estrangelo Edessa"/>
          <w:b/>
          <w:color w:val="365F91" w:themeColor="accent1" w:themeShade="BF"/>
          <w:sz w:val="10"/>
        </w:rPr>
      </w:pPr>
    </w:p>
    <w:p w:rsidR="00C93336" w:rsidRPr="005C2150" w:rsidRDefault="000A2F1E" w:rsidP="00222960">
      <w:pPr>
        <w:rPr>
          <w:rFonts w:ascii="Arial Rounded MT Bold" w:hAnsi="Arial Rounded MT Bold" w:cs="Estrangelo Edessa"/>
          <w:b/>
          <w:color w:val="17365D" w:themeColor="text2" w:themeShade="BF"/>
          <w:sz w:val="30"/>
        </w:rPr>
      </w:pPr>
      <w:r w:rsidRPr="005C2150">
        <w:rPr>
          <w:rFonts w:ascii="Arial Rounded MT Bold" w:hAnsi="Arial Rounded MT Bold" w:cs="Estrangelo Edessa"/>
          <w:b/>
          <w:color w:val="17365D" w:themeColor="text2" w:themeShade="BF"/>
          <w:sz w:val="30"/>
        </w:rPr>
        <w:t xml:space="preserve">This course is also available </w:t>
      </w:r>
      <w:r w:rsidR="007E7E6A" w:rsidRPr="005C2150">
        <w:rPr>
          <w:rFonts w:ascii="Arial Rounded MT Bold" w:hAnsi="Arial Rounded MT Bold" w:cs="Estrangelo Edessa"/>
          <w:b/>
          <w:color w:val="17365D" w:themeColor="text2" w:themeShade="BF"/>
          <w:sz w:val="30"/>
        </w:rPr>
        <w:t>via</w:t>
      </w:r>
      <w:r w:rsidRPr="005C2150">
        <w:rPr>
          <w:rFonts w:ascii="Arial Rounded MT Bold" w:hAnsi="Arial Rounded MT Bold" w:cs="Estrangelo Edessa"/>
          <w:b/>
          <w:color w:val="17365D" w:themeColor="text2" w:themeShade="BF"/>
          <w:sz w:val="30"/>
        </w:rPr>
        <w:t xml:space="preserve"> open learning correspondence.</w:t>
      </w:r>
      <w:r w:rsidR="00C93336" w:rsidRPr="005C2150">
        <w:rPr>
          <w:rFonts w:ascii="Arial Rounded MT Bold" w:hAnsi="Arial Rounded MT Bold" w:cs="Estrangelo Edessa"/>
          <w:b/>
          <w:color w:val="17365D" w:themeColor="text2" w:themeShade="BF"/>
          <w:sz w:val="30"/>
        </w:rPr>
        <w:t xml:space="preserve"> </w:t>
      </w:r>
    </w:p>
    <w:p w:rsidR="00222960" w:rsidRPr="005C2150" w:rsidRDefault="00222960" w:rsidP="00222960">
      <w:pPr>
        <w:rPr>
          <w:rFonts w:ascii="Arial Rounded MT Bold" w:hAnsi="Arial Rounded MT Bold" w:cs="Estrangelo Edessa"/>
          <w:color w:val="365F91" w:themeColor="accent1" w:themeShade="BF"/>
        </w:rPr>
      </w:pPr>
      <w:r w:rsidRPr="005C2150">
        <w:rPr>
          <w:rFonts w:ascii="Arial Rounded MT Bold" w:hAnsi="Arial Rounded MT Bold" w:cs="Estrangelo Edessa"/>
          <w:color w:val="FF0000"/>
        </w:rPr>
        <w:t>Costs are £425 + £175 for examination fees inclusive of VAT.</w:t>
      </w:r>
    </w:p>
    <w:p w:rsidR="007C7A4B" w:rsidRPr="007E7E6A" w:rsidRDefault="00822BF6" w:rsidP="007C7A4B">
      <w:pPr>
        <w:jc w:val="center"/>
        <w:rPr>
          <w:rFonts w:ascii="Arial Rounded MT Bold" w:hAnsi="Arial Rounded MT Bold"/>
          <w:b/>
          <w:color w:val="365F91" w:themeColor="accent1" w:themeShade="BF"/>
        </w:rPr>
      </w:pPr>
      <w:r>
        <w:rPr>
          <w:rFonts w:ascii="Arial Rounded MT Bold" w:hAnsi="Arial Rounded MT Bold"/>
          <w:b/>
          <w:noProof/>
          <w:color w:val="365F91" w:themeColor="accent1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5pt;margin-top:7.2pt;width:550.5pt;height:0;z-index:251662336" o:connectortype="straight" strokecolor="#365f91 [2404]" strokeweight="1.5pt">
            <v:shadow type="perspective" color="#243f60 [1604]" opacity=".5" offset="1pt" offset2="-1pt"/>
          </v:shape>
        </w:pict>
      </w:r>
    </w:p>
    <w:p w:rsidR="007C7A4B" w:rsidRPr="007E7E6A" w:rsidRDefault="007E7E6A" w:rsidP="007C7A4B">
      <w:pPr>
        <w:jc w:val="center"/>
        <w:rPr>
          <w:b/>
          <w:color w:val="365F91" w:themeColor="accent1" w:themeShade="BF"/>
        </w:rPr>
      </w:pPr>
      <w:r w:rsidRPr="007E7E6A">
        <w:rPr>
          <w:b/>
          <w:color w:val="365F91" w:themeColor="accent1" w:themeShade="BF"/>
        </w:rPr>
        <w:t>If you would like more</w:t>
      </w:r>
      <w:r w:rsidR="007C7A4B" w:rsidRPr="007E7E6A">
        <w:rPr>
          <w:b/>
          <w:color w:val="365F91" w:themeColor="accent1" w:themeShade="BF"/>
        </w:rPr>
        <w:t xml:space="preserve"> information please contact Natalie Hadfield on:</w:t>
      </w:r>
    </w:p>
    <w:p w:rsidR="007C7A4B" w:rsidRDefault="007C7A4B" w:rsidP="00005E2B">
      <w:pPr>
        <w:rPr>
          <w:color w:val="365F91" w:themeColor="accent1" w:themeShade="BF"/>
        </w:rPr>
      </w:pPr>
      <w:r w:rsidRPr="007E7E6A">
        <w:rPr>
          <w:b/>
          <w:color w:val="FF0000"/>
          <w:sz w:val="20"/>
          <w:szCs w:val="20"/>
        </w:rPr>
        <w:t>Tel:</w:t>
      </w:r>
      <w:r w:rsidRPr="007E7E6A">
        <w:rPr>
          <w:b/>
          <w:color w:val="C00000"/>
          <w:sz w:val="20"/>
          <w:szCs w:val="20"/>
        </w:rPr>
        <w:t xml:space="preserve"> </w:t>
      </w:r>
      <w:r w:rsidRPr="007E7E6A">
        <w:rPr>
          <w:b/>
          <w:color w:val="365F91" w:themeColor="accent1" w:themeShade="BF"/>
          <w:sz w:val="20"/>
          <w:szCs w:val="20"/>
        </w:rPr>
        <w:t>0161 728 2438</w:t>
      </w:r>
      <w:r w:rsidRPr="007C7A4B">
        <w:rPr>
          <w:b/>
          <w:sz w:val="20"/>
          <w:szCs w:val="20"/>
        </w:rPr>
        <w:tab/>
      </w:r>
      <w:r w:rsidRPr="007C7A4B">
        <w:rPr>
          <w:b/>
          <w:sz w:val="20"/>
          <w:szCs w:val="20"/>
        </w:rPr>
        <w:tab/>
      </w:r>
      <w:r w:rsidRPr="007E7E6A">
        <w:rPr>
          <w:b/>
          <w:color w:val="FF0000"/>
          <w:sz w:val="20"/>
          <w:szCs w:val="20"/>
        </w:rPr>
        <w:t>Email</w:t>
      </w:r>
      <w:r w:rsidRPr="007C7A4B">
        <w:rPr>
          <w:b/>
          <w:sz w:val="20"/>
          <w:szCs w:val="20"/>
        </w:rPr>
        <w:t xml:space="preserve">: </w:t>
      </w:r>
      <w:hyperlink r:id="rId9" w:history="1">
        <w:r w:rsidRPr="007E7E6A">
          <w:rPr>
            <w:rStyle w:val="Hyperlink"/>
            <w:b/>
            <w:color w:val="365F91" w:themeColor="accent1" w:themeShade="BF"/>
            <w:sz w:val="20"/>
            <w:szCs w:val="20"/>
          </w:rPr>
          <w:t>nataliethompson.start@virgin.net</w:t>
        </w:r>
      </w:hyperlink>
      <w:r>
        <w:rPr>
          <w:b/>
          <w:sz w:val="20"/>
          <w:szCs w:val="20"/>
        </w:rPr>
        <w:tab/>
        <w:t xml:space="preserve">    </w:t>
      </w:r>
      <w:r w:rsidRPr="007E7E6A">
        <w:rPr>
          <w:b/>
          <w:color w:val="FF0000"/>
          <w:sz w:val="20"/>
          <w:szCs w:val="20"/>
        </w:rPr>
        <w:t>Website:</w:t>
      </w:r>
      <w:r w:rsidRPr="007C7A4B">
        <w:rPr>
          <w:b/>
          <w:sz w:val="20"/>
          <w:szCs w:val="20"/>
        </w:rPr>
        <w:t xml:space="preserve"> </w:t>
      </w:r>
      <w:hyperlink r:id="rId10" w:history="1">
        <w:r w:rsidRPr="007E7E6A">
          <w:rPr>
            <w:rStyle w:val="Hyperlink"/>
            <w:b/>
            <w:color w:val="365F91" w:themeColor="accent1" w:themeShade="BF"/>
            <w:sz w:val="20"/>
            <w:szCs w:val="20"/>
          </w:rPr>
          <w:t>www.starttraining.co.uk</w:t>
        </w:r>
      </w:hyperlink>
    </w:p>
    <w:p w:rsidR="007C7A4B" w:rsidRDefault="007C7A4B" w:rsidP="007C7A4B">
      <w:pPr>
        <w:jc w:val="center"/>
        <w:rPr>
          <w:b/>
          <w:color w:val="365F91" w:themeColor="accent1" w:themeShade="BF"/>
          <w:sz w:val="20"/>
          <w:szCs w:val="20"/>
        </w:rPr>
      </w:pPr>
      <w:r w:rsidRPr="007E7E6A">
        <w:rPr>
          <w:b/>
          <w:color w:val="365F91" w:themeColor="accent1" w:themeShade="BF"/>
          <w:sz w:val="20"/>
          <w:szCs w:val="20"/>
        </w:rPr>
        <w:t>Start Training Limited, Wesley House, Wesley Street, Swinton, Manchester, M27 6AD</w:t>
      </w:r>
    </w:p>
    <w:p w:rsidR="007E7E6A" w:rsidRDefault="007E7E6A" w:rsidP="007E7E6A">
      <w:pPr>
        <w:rPr>
          <w:b/>
          <w:color w:val="FF0000"/>
          <w:sz w:val="16"/>
          <w:szCs w:val="20"/>
        </w:rPr>
      </w:pPr>
      <w:r w:rsidRPr="007E7E6A">
        <w:rPr>
          <w:b/>
          <w:color w:val="FF0000"/>
          <w:sz w:val="16"/>
          <w:szCs w:val="20"/>
        </w:rPr>
        <w:t>Start Training are positive about Equality and Diversity.  Our Centre has wheelchair access and ground floor training rooms/wc facilities.</w:t>
      </w:r>
    </w:p>
    <w:p w:rsidR="00A60A27" w:rsidRDefault="00A60A27" w:rsidP="007E7E6A">
      <w:pPr>
        <w:rPr>
          <w:b/>
          <w:color w:val="FF0000"/>
          <w:sz w:val="16"/>
          <w:szCs w:val="20"/>
        </w:rPr>
      </w:pPr>
    </w:p>
    <w:p w:rsidR="005A106D" w:rsidRDefault="005A106D" w:rsidP="007E7E6A">
      <w:pPr>
        <w:rPr>
          <w:b/>
          <w:color w:val="FF0000"/>
          <w:sz w:val="16"/>
          <w:szCs w:val="20"/>
        </w:rPr>
      </w:pPr>
    </w:p>
    <w:p w:rsidR="007E7E6A" w:rsidRDefault="005A106D" w:rsidP="007E7E6A">
      <w:pPr>
        <w:rPr>
          <w:b/>
          <w:sz w:val="8"/>
          <w:szCs w:val="20"/>
        </w:rPr>
      </w:pPr>
      <w:r w:rsidRPr="007E7E6A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8915" cy="5461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16"/>
          <w:szCs w:val="20"/>
        </w:rPr>
        <w:tab/>
      </w:r>
      <w:r>
        <w:rPr>
          <w:b/>
          <w:color w:val="FF0000"/>
          <w:sz w:val="16"/>
          <w:szCs w:val="20"/>
        </w:rPr>
        <w:tab/>
      </w:r>
      <w:r>
        <w:rPr>
          <w:b/>
          <w:color w:val="FF0000"/>
          <w:sz w:val="16"/>
          <w:szCs w:val="20"/>
        </w:rPr>
        <w:tab/>
      </w:r>
      <w:r>
        <w:rPr>
          <w:b/>
          <w:color w:val="FF0000"/>
          <w:sz w:val="16"/>
          <w:szCs w:val="20"/>
        </w:rPr>
        <w:tab/>
      </w:r>
      <w:r w:rsidRPr="005A106D">
        <w:rPr>
          <w:b/>
          <w:noProof/>
          <w:color w:val="FF0000"/>
          <w:sz w:val="16"/>
          <w:szCs w:val="20"/>
        </w:rPr>
        <w:drawing>
          <wp:inline distT="0" distB="0" distL="0" distR="0">
            <wp:extent cx="1657350" cy="533400"/>
            <wp:effectExtent l="19050" t="0" r="0" b="0"/>
            <wp:docPr id="2" name="Picture 2" descr="D:\GIF\Matrix-QM-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8" descr="D:\GIF\Matrix-QM-RG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8" cy="53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16"/>
          <w:szCs w:val="20"/>
        </w:rPr>
        <w:br w:type="textWrapping" w:clear="all"/>
      </w:r>
    </w:p>
    <w:sectPr w:rsidR="007E7E6A" w:rsidSect="00454017">
      <w:pgSz w:w="12240" w:h="15840"/>
      <w:pgMar w:top="426" w:right="720" w:bottom="142" w:left="720" w:header="708" w:footer="708" w:gutter="0"/>
      <w:pgBorders>
        <w:top w:val="single" w:sz="18" w:space="1" w:color="365F91" w:themeColor="accent1" w:themeShade="BF"/>
        <w:left w:val="single" w:sz="18" w:space="4" w:color="365F91" w:themeColor="accent1" w:themeShade="BF"/>
        <w:bottom w:val="single" w:sz="18" w:space="1" w:color="365F91" w:themeColor="accent1" w:themeShade="BF"/>
        <w:right w:val="single" w:sz="18" w:space="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1C4"/>
    <w:multiLevelType w:val="hybridMultilevel"/>
    <w:tmpl w:val="23B437E4"/>
    <w:lvl w:ilvl="0" w:tplc="3E0468C0">
      <w:numFmt w:val="bullet"/>
      <w:lvlText w:val="-"/>
      <w:lvlJc w:val="left"/>
      <w:pPr>
        <w:ind w:left="5400" w:hanging="360"/>
      </w:pPr>
      <w:rPr>
        <w:rFonts w:ascii="Tunga" w:eastAsia="Times New Roman" w:hAnsi="Tunga" w:cs="Tunga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3A82541E"/>
    <w:multiLevelType w:val="hybridMultilevel"/>
    <w:tmpl w:val="7DF227F4"/>
    <w:lvl w:ilvl="0" w:tplc="5CC67434">
      <w:numFmt w:val="bullet"/>
      <w:lvlText w:val="-"/>
      <w:lvlJc w:val="left"/>
      <w:pPr>
        <w:ind w:left="5505" w:hanging="360"/>
      </w:pPr>
      <w:rPr>
        <w:rFonts w:ascii="Tunga" w:eastAsia="Times New Roman" w:hAnsi="Tunga" w:cs="Tunga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2CC40B5"/>
    <w:multiLevelType w:val="hybridMultilevel"/>
    <w:tmpl w:val="57C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E2B"/>
    <w:rsid w:val="0000297D"/>
    <w:rsid w:val="00005E2B"/>
    <w:rsid w:val="000174E8"/>
    <w:rsid w:val="000425EA"/>
    <w:rsid w:val="000552A5"/>
    <w:rsid w:val="00094D3F"/>
    <w:rsid w:val="000A1538"/>
    <w:rsid w:val="000A2F1E"/>
    <w:rsid w:val="000D564E"/>
    <w:rsid w:val="001013A8"/>
    <w:rsid w:val="0014423C"/>
    <w:rsid w:val="00150588"/>
    <w:rsid w:val="00155F08"/>
    <w:rsid w:val="001C1E88"/>
    <w:rsid w:val="001C7940"/>
    <w:rsid w:val="001D57C9"/>
    <w:rsid w:val="001E4076"/>
    <w:rsid w:val="0021542A"/>
    <w:rsid w:val="002176D9"/>
    <w:rsid w:val="00222960"/>
    <w:rsid w:val="002857A5"/>
    <w:rsid w:val="00291DF6"/>
    <w:rsid w:val="002C0F2E"/>
    <w:rsid w:val="002C544E"/>
    <w:rsid w:val="002E5FD8"/>
    <w:rsid w:val="00304228"/>
    <w:rsid w:val="003D4C5D"/>
    <w:rsid w:val="00454017"/>
    <w:rsid w:val="00564BE4"/>
    <w:rsid w:val="005A106D"/>
    <w:rsid w:val="005C2150"/>
    <w:rsid w:val="005D2EE5"/>
    <w:rsid w:val="005F444E"/>
    <w:rsid w:val="00793058"/>
    <w:rsid w:val="007A40E5"/>
    <w:rsid w:val="007C7043"/>
    <w:rsid w:val="007C7A4B"/>
    <w:rsid w:val="007E3626"/>
    <w:rsid w:val="007E7E6A"/>
    <w:rsid w:val="00822BF6"/>
    <w:rsid w:val="0083698B"/>
    <w:rsid w:val="0089700C"/>
    <w:rsid w:val="00A2488F"/>
    <w:rsid w:val="00A26000"/>
    <w:rsid w:val="00A60A27"/>
    <w:rsid w:val="00A82E68"/>
    <w:rsid w:val="00AD1B35"/>
    <w:rsid w:val="00AD6E10"/>
    <w:rsid w:val="00AE17E6"/>
    <w:rsid w:val="00B26830"/>
    <w:rsid w:val="00B67957"/>
    <w:rsid w:val="00BB7871"/>
    <w:rsid w:val="00C25113"/>
    <w:rsid w:val="00C917AA"/>
    <w:rsid w:val="00C93336"/>
    <w:rsid w:val="00CE2444"/>
    <w:rsid w:val="00CE7F48"/>
    <w:rsid w:val="00D92F5C"/>
    <w:rsid w:val="00DF3EAC"/>
    <w:rsid w:val="00E52365"/>
    <w:rsid w:val="00EA7089"/>
    <w:rsid w:val="00ED42E3"/>
    <w:rsid w:val="00EE131F"/>
    <w:rsid w:val="00F351AA"/>
    <w:rsid w:val="00FA46F9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2B"/>
    <w:rPr>
      <w:rFonts w:ascii="Tunga" w:eastAsia="Times New Roman" w:hAnsi="Tunga" w:cs="Times New Roman"/>
      <w:vertAlign w:val="baseli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05E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005E2B"/>
    <w:rPr>
      <w:rFonts w:asciiTheme="majorHAnsi" w:eastAsiaTheme="majorEastAsia" w:hAnsiTheme="majorHAnsi" w:cstheme="majorBidi"/>
      <w:color w:val="404040" w:themeColor="text1" w:themeTint="BF"/>
      <w:sz w:val="20"/>
      <w:szCs w:val="20"/>
      <w:vertAlign w:val="baseline"/>
    </w:rPr>
  </w:style>
  <w:style w:type="paragraph" w:styleId="ListParagraph">
    <w:name w:val="List Paragraph"/>
    <w:basedOn w:val="Normal"/>
    <w:uiPriority w:val="34"/>
    <w:qFormat/>
    <w:rsid w:val="002E5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88"/>
    <w:rPr>
      <w:rFonts w:ascii="Tahoma" w:eastAsia="Times New Roman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Startback\Documents%20on%20MASTER%20(Start110308)\MARKETING\Mulberry%20Grove\images\logo.gif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starttrain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ethompson.start@virgi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9D46-4ABB-4604-93BC-19D636F2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cp:lastPrinted>2011-02-03T16:11:00Z</cp:lastPrinted>
  <dcterms:created xsi:type="dcterms:W3CDTF">2011-02-15T11:27:00Z</dcterms:created>
  <dcterms:modified xsi:type="dcterms:W3CDTF">2011-02-15T11:27:00Z</dcterms:modified>
</cp:coreProperties>
</file>